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6A" w:rsidRPr="003377D1" w:rsidRDefault="003377D1" w:rsidP="003377D1">
      <w:pPr>
        <w:pStyle w:val="a9"/>
        <w:ind w:firstLine="709"/>
        <w:jc w:val="center"/>
        <w:rPr>
          <w:rFonts w:ascii="Bookman Old Style" w:hAnsi="Bookman Old Style"/>
          <w:b/>
          <w:sz w:val="20"/>
          <w:szCs w:val="20"/>
        </w:rPr>
      </w:pPr>
      <w:r w:rsidRPr="003377D1">
        <w:rPr>
          <w:rFonts w:ascii="Bookman Old Style" w:hAnsi="Bookman Old Style"/>
          <w:b/>
          <w:sz w:val="20"/>
          <w:szCs w:val="20"/>
        </w:rPr>
        <w:t>ЦЕННЫЕ БУМАГИ: ОБЩАЯ ХАРАКТЕРИСТИКА.</w:t>
      </w:r>
    </w:p>
    <w:p w:rsidR="00822C65" w:rsidRPr="003377D1" w:rsidRDefault="00A710F3" w:rsidP="003377D1">
      <w:pPr>
        <w:pStyle w:val="a9"/>
        <w:ind w:firstLine="709"/>
        <w:jc w:val="both"/>
        <w:rPr>
          <w:rFonts w:ascii="Bookman Old Style" w:hAnsi="Bookman Old Style"/>
          <w:sz w:val="20"/>
          <w:szCs w:val="20"/>
        </w:rPr>
      </w:pPr>
      <w:r w:rsidRPr="003377D1">
        <w:rPr>
          <w:rFonts w:ascii="Bookman Old Style" w:hAnsi="Bookman Old Style"/>
          <w:i/>
          <w:sz w:val="20"/>
          <w:szCs w:val="20"/>
        </w:rPr>
        <w:t>Ценной бумагой</w:t>
      </w:r>
      <w:r w:rsidRPr="003377D1">
        <w:rPr>
          <w:rFonts w:ascii="Bookman Old Style" w:hAnsi="Bookman Old Style"/>
          <w:sz w:val="20"/>
          <w:szCs w:val="20"/>
        </w:rPr>
        <w:t xml:space="preserve">, в соответствии со ст.142 ГК РФ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w:t>
      </w:r>
    </w:p>
    <w:p w:rsidR="00A710F3" w:rsidRPr="003377D1" w:rsidRDefault="00A710F3" w:rsidP="003377D1">
      <w:pPr>
        <w:pStyle w:val="a9"/>
        <w:ind w:firstLine="709"/>
        <w:jc w:val="both"/>
        <w:rPr>
          <w:rFonts w:ascii="Bookman Old Style" w:hAnsi="Bookman Old Style"/>
          <w:sz w:val="20"/>
          <w:szCs w:val="20"/>
        </w:rPr>
      </w:pPr>
      <w:r w:rsidRPr="003377D1">
        <w:rPr>
          <w:rFonts w:ascii="Bookman Old Style" w:hAnsi="Bookman Old Style"/>
          <w:sz w:val="20"/>
          <w:szCs w:val="20"/>
        </w:rPr>
        <w:t>С учетом сказанного в ст.128 ГК РФ, получается, что закон относит ценные бумаги к имуществу, включая имущественные права.</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i/>
          <w:sz w:val="20"/>
          <w:szCs w:val="20"/>
        </w:rPr>
        <w:t>Признаки ценной бумаги</w:t>
      </w:r>
      <w:r w:rsidRPr="003377D1">
        <w:rPr>
          <w:rStyle w:val="a6"/>
          <w:rFonts w:ascii="Bookman Old Style" w:hAnsi="Bookman Old Style"/>
          <w:sz w:val="20"/>
          <w:szCs w:val="20"/>
        </w:rPr>
        <w:footnoteReference w:id="2"/>
      </w:r>
      <w:r w:rsidRPr="003377D1">
        <w:rPr>
          <w:rFonts w:ascii="Bookman Old Style" w:hAnsi="Bookman Old Style"/>
          <w:sz w:val="20"/>
          <w:szCs w:val="20"/>
        </w:rPr>
        <w:t>:</w:t>
      </w:r>
    </w:p>
    <w:p w:rsidR="00C570FF" w:rsidRPr="003377D1" w:rsidRDefault="00C570FF" w:rsidP="003377D1">
      <w:pPr>
        <w:pStyle w:val="a9"/>
        <w:numPr>
          <w:ilvl w:val="0"/>
          <w:numId w:val="6"/>
        </w:numPr>
        <w:jc w:val="both"/>
        <w:rPr>
          <w:rFonts w:ascii="Bookman Old Style" w:hAnsi="Bookman Old Style"/>
          <w:sz w:val="20"/>
          <w:szCs w:val="20"/>
        </w:rPr>
      </w:pPr>
      <w:r w:rsidRPr="003377D1">
        <w:rPr>
          <w:rFonts w:ascii="Bookman Old Style" w:hAnsi="Bookman Old Style"/>
          <w:sz w:val="20"/>
          <w:szCs w:val="20"/>
        </w:rPr>
        <w:t>документарность — ценная бумага есть документ, то есть официально составленная уполномоченным лицом в соответствии с реквизитами запись, имеющая правовое значение</w:t>
      </w:r>
    </w:p>
    <w:p w:rsidR="00C570FF" w:rsidRPr="003377D1" w:rsidRDefault="00C570FF" w:rsidP="003377D1">
      <w:pPr>
        <w:pStyle w:val="a9"/>
        <w:numPr>
          <w:ilvl w:val="0"/>
          <w:numId w:val="6"/>
        </w:numPr>
        <w:jc w:val="both"/>
        <w:rPr>
          <w:rFonts w:ascii="Bookman Old Style" w:hAnsi="Bookman Old Style"/>
          <w:sz w:val="20"/>
          <w:szCs w:val="20"/>
        </w:rPr>
      </w:pPr>
      <w:r w:rsidRPr="003377D1">
        <w:rPr>
          <w:rFonts w:ascii="Bookman Old Style" w:hAnsi="Bookman Old Style"/>
          <w:sz w:val="20"/>
          <w:szCs w:val="20"/>
        </w:rPr>
        <w:t>воплощает частные права — ценная бумага ценна не сама по себе, но поскольку воплощает субъективные гражданские права имущественного (обязательственные и вещно-правовые) и возможно неимущественного характера;</w:t>
      </w:r>
    </w:p>
    <w:p w:rsidR="00C570FF" w:rsidRPr="003377D1" w:rsidRDefault="00C570FF" w:rsidP="003377D1">
      <w:pPr>
        <w:pStyle w:val="a9"/>
        <w:numPr>
          <w:ilvl w:val="0"/>
          <w:numId w:val="6"/>
        </w:numPr>
        <w:jc w:val="both"/>
        <w:rPr>
          <w:rFonts w:ascii="Bookman Old Style" w:hAnsi="Bookman Old Style"/>
          <w:sz w:val="20"/>
          <w:szCs w:val="20"/>
        </w:rPr>
      </w:pPr>
      <w:r w:rsidRPr="003377D1">
        <w:rPr>
          <w:rFonts w:ascii="Bookman Old Style" w:hAnsi="Bookman Old Style"/>
          <w:sz w:val="20"/>
          <w:szCs w:val="20"/>
        </w:rPr>
        <w:t>необходимость презентации — предъявление ценной бумаги обязательно для осуществления закрепленных в ней прав;</w:t>
      </w:r>
    </w:p>
    <w:p w:rsidR="00C570FF" w:rsidRPr="003377D1" w:rsidRDefault="00C570FF" w:rsidP="003377D1">
      <w:pPr>
        <w:pStyle w:val="a9"/>
        <w:numPr>
          <w:ilvl w:val="0"/>
          <w:numId w:val="6"/>
        </w:numPr>
        <w:jc w:val="both"/>
        <w:rPr>
          <w:rFonts w:ascii="Bookman Old Style" w:hAnsi="Bookman Old Style"/>
          <w:sz w:val="20"/>
          <w:szCs w:val="20"/>
        </w:rPr>
      </w:pPr>
      <w:r w:rsidRPr="003377D1">
        <w:rPr>
          <w:rFonts w:ascii="Bookman Old Style" w:hAnsi="Bookman Old Style"/>
          <w:sz w:val="20"/>
          <w:szCs w:val="20"/>
        </w:rPr>
        <w:t>оборотоспособность — ценная бумага может быть объектом гражданско-правовых сделок;</w:t>
      </w:r>
    </w:p>
    <w:p w:rsidR="00C570FF" w:rsidRPr="003377D1" w:rsidRDefault="00C570FF" w:rsidP="003377D1">
      <w:pPr>
        <w:pStyle w:val="a9"/>
        <w:numPr>
          <w:ilvl w:val="0"/>
          <w:numId w:val="6"/>
        </w:numPr>
        <w:jc w:val="both"/>
        <w:rPr>
          <w:rFonts w:ascii="Bookman Old Style" w:hAnsi="Bookman Old Style"/>
          <w:sz w:val="20"/>
          <w:szCs w:val="20"/>
        </w:rPr>
      </w:pPr>
      <w:r w:rsidRPr="003377D1">
        <w:rPr>
          <w:rFonts w:ascii="Bookman Old Style" w:hAnsi="Bookman Old Style"/>
          <w:sz w:val="20"/>
          <w:szCs w:val="20"/>
        </w:rPr>
        <w:t>публичная достоверность — по отношению к надлежащим образом легитимированному обладателю ценной бумаги обязанное по ценной бумаге лицо может выдвигать лишь такие возражения, которые вытекают из содержания самого документа или касаются действительности бумаги, либо основаны на непосредственных отношениях между должником по ценной бумаге и её обладателем.</w:t>
      </w:r>
    </w:p>
    <w:p w:rsidR="00C570FF" w:rsidRPr="003377D1" w:rsidRDefault="00C570FF" w:rsidP="003377D1">
      <w:pPr>
        <w:pStyle w:val="a9"/>
        <w:ind w:firstLine="709"/>
        <w:jc w:val="both"/>
        <w:rPr>
          <w:rFonts w:ascii="Bookman Old Style" w:hAnsi="Bookman Old Style" w:cs="Calibri"/>
          <w:sz w:val="20"/>
          <w:szCs w:val="20"/>
        </w:rPr>
      </w:pPr>
      <w:r w:rsidRPr="003377D1">
        <w:rPr>
          <w:rFonts w:ascii="Bookman Old Style" w:hAnsi="Bookman Old Style"/>
          <w:sz w:val="20"/>
          <w:szCs w:val="20"/>
        </w:rPr>
        <w:t>Существуют признаки эмиссионной ценной бумаги согласно ст.</w:t>
      </w:r>
      <w:r w:rsidRPr="003377D1">
        <w:rPr>
          <w:rFonts w:ascii="Bookman Old Style" w:hAnsi="Bookman Old Style" w:cs="Calibri"/>
          <w:sz w:val="20"/>
          <w:szCs w:val="20"/>
        </w:rPr>
        <w:t xml:space="preserve"> 2 ФЗ  от 22.04.1996 N 39-ФЗ</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cs="Calibri"/>
          <w:sz w:val="20"/>
          <w:szCs w:val="20"/>
        </w:rPr>
        <w:t>(ред. от 27.12.2009) "О рынке ценных бумаг":</w:t>
      </w:r>
    </w:p>
    <w:p w:rsidR="00C570FF" w:rsidRPr="003377D1" w:rsidRDefault="00C570FF" w:rsidP="003377D1">
      <w:pPr>
        <w:pStyle w:val="a9"/>
        <w:ind w:firstLine="709"/>
        <w:jc w:val="both"/>
        <w:rPr>
          <w:rFonts w:ascii="Bookman Old Style" w:hAnsi="Bookman Old Style" w:cs="Calibri"/>
          <w:sz w:val="20"/>
          <w:szCs w:val="20"/>
        </w:rPr>
      </w:pPr>
      <w:r w:rsidRPr="003377D1">
        <w:rPr>
          <w:rFonts w:ascii="Bookman Old Style" w:hAnsi="Bookman Old Style" w:cs="Calibri"/>
          <w:sz w:val="20"/>
          <w:szCs w:val="20"/>
        </w:rPr>
        <w:t>«Эмиссионная ценная бумага - любая ценная бумага, в том числе бездокументарная, которая характеризуется одновременно следующими признаками:</w:t>
      </w:r>
    </w:p>
    <w:p w:rsidR="00C570FF" w:rsidRPr="003377D1" w:rsidRDefault="00C570FF" w:rsidP="003377D1">
      <w:pPr>
        <w:pStyle w:val="a9"/>
        <w:ind w:firstLine="709"/>
        <w:jc w:val="both"/>
        <w:rPr>
          <w:rFonts w:ascii="Bookman Old Style" w:hAnsi="Bookman Old Style" w:cs="Calibri"/>
          <w:sz w:val="20"/>
          <w:szCs w:val="20"/>
        </w:rPr>
      </w:pPr>
      <w:r w:rsidRPr="003377D1">
        <w:rPr>
          <w:rFonts w:ascii="Bookman Old Style" w:hAnsi="Bookman Old Style" w:cs="Calibri"/>
          <w:sz w:val="20"/>
          <w:szCs w:val="20"/>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настоящим Федеральным законом формы и порядка;</w:t>
      </w:r>
    </w:p>
    <w:p w:rsidR="00C570FF" w:rsidRPr="003377D1" w:rsidRDefault="00C570FF" w:rsidP="003377D1">
      <w:pPr>
        <w:pStyle w:val="a9"/>
        <w:ind w:firstLine="709"/>
        <w:jc w:val="both"/>
        <w:rPr>
          <w:rFonts w:ascii="Bookman Old Style" w:hAnsi="Bookman Old Style" w:cs="Calibri"/>
          <w:sz w:val="20"/>
          <w:szCs w:val="20"/>
        </w:rPr>
      </w:pPr>
      <w:r w:rsidRPr="003377D1">
        <w:rPr>
          <w:rFonts w:ascii="Bookman Old Style" w:hAnsi="Bookman Old Style" w:cs="Calibri"/>
          <w:sz w:val="20"/>
          <w:szCs w:val="20"/>
        </w:rPr>
        <w:t>размещается выпусками;</w:t>
      </w:r>
    </w:p>
    <w:p w:rsidR="00C570FF" w:rsidRPr="003377D1" w:rsidRDefault="00C570FF" w:rsidP="003377D1">
      <w:pPr>
        <w:pStyle w:val="a9"/>
        <w:ind w:firstLine="709"/>
        <w:jc w:val="both"/>
        <w:rPr>
          <w:rFonts w:ascii="Bookman Old Style" w:hAnsi="Bookman Old Style" w:cs="Calibri"/>
          <w:sz w:val="20"/>
          <w:szCs w:val="20"/>
        </w:rPr>
      </w:pPr>
      <w:r w:rsidRPr="003377D1">
        <w:rPr>
          <w:rFonts w:ascii="Bookman Old Style" w:hAnsi="Bookman Old Style" w:cs="Calibri"/>
          <w:sz w:val="20"/>
          <w:szCs w:val="20"/>
        </w:rPr>
        <w:t>имеет равные объем и сроки осуществления прав внутри одного выпуска вне зависимости от времени приобретения ценной бумаги.»</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Ценными бумагами признаются права на ресурсы, отвечающие следующим фундаментальным требованиям</w:t>
      </w:r>
      <w:r w:rsidRPr="003377D1">
        <w:rPr>
          <w:rStyle w:val="a6"/>
          <w:rFonts w:ascii="Bookman Old Style" w:hAnsi="Bookman Old Style"/>
          <w:sz w:val="20"/>
          <w:szCs w:val="20"/>
        </w:rPr>
        <w:footnoteReference w:id="3"/>
      </w:r>
      <w:r w:rsidRPr="003377D1">
        <w:rPr>
          <w:rFonts w:ascii="Bookman Old Style" w:hAnsi="Bookman Old Style"/>
          <w:sz w:val="20"/>
          <w:szCs w:val="20"/>
        </w:rPr>
        <w:t>:</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обращаемость как способность продаваться и покупаться на рынке, а также выступать в качестве самостоятельного платежного инструмента;</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доступность для гражданского оборота как способность быть предметом гражданских сделок;</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стандартность как наличие стандартного представления, реквизитов, что делает ее товаром, способным обращаться;</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документальность - ценная бумага есть документ;</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регулируемость и признание государством, что обеспечивает снижение рисков по ценной бумаге и повышение доверия инвесторов;</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рыночность - неразрывно связаны с соответствующим рынком, являются его отражением;</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раскрытие информации - должен быть обеспечен равный доступ к информации о ценных бумагах различных эмитентов;</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ликвидность;</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риск;</w:t>
      </w:r>
    </w:p>
    <w:p w:rsidR="00C570FF" w:rsidRPr="003377D1" w:rsidRDefault="00C570FF" w:rsidP="003377D1">
      <w:pPr>
        <w:pStyle w:val="a9"/>
        <w:numPr>
          <w:ilvl w:val="0"/>
          <w:numId w:val="7"/>
        </w:numPr>
        <w:jc w:val="both"/>
        <w:rPr>
          <w:rFonts w:ascii="Bookman Old Style" w:hAnsi="Bookman Old Style"/>
          <w:sz w:val="20"/>
          <w:szCs w:val="20"/>
        </w:rPr>
      </w:pPr>
      <w:r w:rsidRPr="003377D1">
        <w:rPr>
          <w:rFonts w:ascii="Bookman Old Style" w:hAnsi="Bookman Old Style"/>
          <w:sz w:val="20"/>
          <w:szCs w:val="20"/>
        </w:rPr>
        <w:t>доходность.</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Ценная бумага должна обязательно обладать обязательными реквизитами и формой, отсутствие или несоответствие которых влекут ее недействительность. Данные требования раскрываются в законодательстве.</w:t>
      </w:r>
    </w:p>
    <w:p w:rsidR="00BE0050"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sz w:val="20"/>
          <w:szCs w:val="20"/>
        </w:rPr>
        <w:t>В целом, виды ценных бумаг указаны в ст.143 ГК РФ, но не раскрываются ни там, ни в соответствующей главе о ценных бумагах.:</w:t>
      </w:r>
    </w:p>
    <w:p w:rsidR="0010570A"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b/>
          <w:sz w:val="20"/>
          <w:szCs w:val="20"/>
        </w:rPr>
        <w:t>Государственные облигации</w:t>
      </w:r>
      <w:r w:rsidR="00C669CA" w:rsidRPr="003377D1">
        <w:rPr>
          <w:rFonts w:ascii="Bookman Old Style" w:hAnsi="Bookman Old Style"/>
          <w:sz w:val="20"/>
          <w:szCs w:val="20"/>
        </w:rPr>
        <w:t xml:space="preserve"> - Облигации могут выпускать различные хозяйствующие субъекты. В зависимости от субъекта, выпускающего облигации и гарантирующего уплату их владельцам указанной суммы и оговоренных процентов, облигации подразделяются на: 1) государственные (федеральные и региональные); 2) муниципальные;3) юридических лиц. Выпуск и обращение государственных и муниципальных облигаций регулируется</w:t>
      </w:r>
      <w:r w:rsidR="00C669CA" w:rsidRPr="003377D1">
        <w:rPr>
          <w:rFonts w:ascii="Bookman Old Style" w:hAnsi="Bookman Old Style" w:cs="TimesNewRoman"/>
          <w:sz w:val="20"/>
          <w:szCs w:val="20"/>
        </w:rPr>
        <w:t xml:space="preserve"> Федеральным законом «Об особенностях эмиссии и обращения государственных и муниципальных ценных бумаг» от 29 июня </w:t>
      </w:r>
      <w:smartTag w:uri="urn:schemas-microsoft-com:office:smarttags" w:element="metricconverter">
        <w:smartTagPr>
          <w:attr w:name="ProductID" w:val="1998 г"/>
        </w:smartTagPr>
        <w:r w:rsidR="00C669CA" w:rsidRPr="003377D1">
          <w:rPr>
            <w:rFonts w:ascii="Bookman Old Style" w:hAnsi="Bookman Old Style" w:cs="TimesNewRoman"/>
            <w:sz w:val="20"/>
            <w:szCs w:val="20"/>
          </w:rPr>
          <w:t>1998 г</w:t>
        </w:r>
      </w:smartTag>
      <w:r w:rsidR="00C669CA" w:rsidRPr="003377D1">
        <w:rPr>
          <w:rFonts w:ascii="Bookman Old Style" w:hAnsi="Bookman Old Style" w:cs="TimesNewRoman"/>
          <w:sz w:val="20"/>
          <w:szCs w:val="20"/>
        </w:rPr>
        <w:t>., а также рядом постановлений Правительства РФ[</w:t>
      </w:r>
      <w:r w:rsidR="00C669CA" w:rsidRPr="003377D1">
        <w:rPr>
          <w:rStyle w:val="a6"/>
          <w:rFonts w:ascii="Bookman Old Style" w:hAnsi="Bookman Old Style" w:cs="TimesNewRoman"/>
          <w:sz w:val="20"/>
          <w:szCs w:val="20"/>
        </w:rPr>
        <w:footnoteReference w:id="4"/>
      </w:r>
      <w:r w:rsidR="00C669CA" w:rsidRPr="003377D1">
        <w:rPr>
          <w:rFonts w:ascii="Bookman Old Style" w:hAnsi="Bookman Old Style" w:cs="TimesNewRoman"/>
          <w:sz w:val="20"/>
          <w:szCs w:val="20"/>
        </w:rPr>
        <w:t>], конкретизированные  приказами министерств</w:t>
      </w:r>
      <w:r w:rsidR="00C669CA" w:rsidRPr="003377D1">
        <w:rPr>
          <w:rFonts w:ascii="Bookman Old Style" w:hAnsi="Bookman Old Style"/>
          <w:sz w:val="20"/>
          <w:szCs w:val="20"/>
        </w:rPr>
        <w:t>.</w:t>
      </w:r>
    </w:p>
    <w:p w:rsidR="00C669CA" w:rsidRPr="003377D1" w:rsidRDefault="00C669CA" w:rsidP="003377D1">
      <w:pPr>
        <w:pStyle w:val="a9"/>
        <w:ind w:firstLine="709"/>
        <w:jc w:val="both"/>
        <w:rPr>
          <w:rFonts w:ascii="Bookman Old Style" w:hAnsi="Bookman Old Style"/>
          <w:sz w:val="20"/>
          <w:szCs w:val="20"/>
        </w:rPr>
      </w:pPr>
    </w:p>
    <w:p w:rsidR="0010570A" w:rsidRPr="003377D1" w:rsidRDefault="00BE0050" w:rsidP="003377D1">
      <w:pPr>
        <w:pStyle w:val="a9"/>
        <w:ind w:firstLine="709"/>
        <w:jc w:val="both"/>
        <w:rPr>
          <w:rFonts w:ascii="Bookman Old Style" w:hAnsi="Bookman Old Style" w:cs="Calibri"/>
          <w:sz w:val="20"/>
          <w:szCs w:val="20"/>
        </w:rPr>
      </w:pPr>
      <w:r w:rsidRPr="003377D1">
        <w:rPr>
          <w:rFonts w:ascii="Bookman Old Style" w:hAnsi="Bookman Old Style"/>
          <w:b/>
          <w:sz w:val="20"/>
          <w:szCs w:val="20"/>
        </w:rPr>
        <w:t>Облигаци</w:t>
      </w:r>
      <w:r w:rsidR="0010570A" w:rsidRPr="003377D1">
        <w:rPr>
          <w:rFonts w:ascii="Bookman Old Style" w:hAnsi="Bookman Old Style"/>
          <w:b/>
          <w:sz w:val="20"/>
          <w:szCs w:val="20"/>
        </w:rPr>
        <w:t>я</w:t>
      </w:r>
      <w:r w:rsidR="0010570A" w:rsidRPr="003377D1">
        <w:rPr>
          <w:rFonts w:ascii="Bookman Old Style" w:hAnsi="Bookman Old Style"/>
          <w:sz w:val="20"/>
          <w:szCs w:val="20"/>
        </w:rPr>
        <w:t xml:space="preserve"> - </w:t>
      </w:r>
      <w:r w:rsidR="0010570A" w:rsidRPr="003377D1">
        <w:rPr>
          <w:rFonts w:ascii="Bookman Old Style" w:hAnsi="Bookman Old Style" w:cs="Calibri"/>
          <w:sz w:val="20"/>
          <w:szCs w:val="20"/>
        </w:rPr>
        <w:t>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Доходом по облигации являются процент и/или дисконт. Бывают либо именными, либо на предъявителя.</w:t>
      </w:r>
      <w:r w:rsidR="00C669CA" w:rsidRPr="003377D1">
        <w:rPr>
          <w:rFonts w:ascii="Bookman Old Style" w:hAnsi="Bookman Old Style"/>
          <w:sz w:val="20"/>
          <w:szCs w:val="20"/>
        </w:rPr>
        <w:t xml:space="preserve"> </w:t>
      </w:r>
      <w:r w:rsidR="00C669CA" w:rsidRPr="003377D1">
        <w:rPr>
          <w:rFonts w:ascii="Bookman Old Style" w:hAnsi="Bookman Old Style" w:cs="Calibri"/>
          <w:sz w:val="20"/>
          <w:szCs w:val="20"/>
        </w:rPr>
        <w:t>Облигации служат дополнительным источником средств для эмитента. Часто их выпуск носит целевой характер — для финансирования конкретных программ или объектов, доход от которых в дальнейшем служит источником для выплаты дохода по облигациям. Экономическая суть облигаций очень похожа на кредитование, но не требует оформления залога и упрощает процедуру перехода права требования к новому кредитору. Обычно доход по облигациям выше, чем доход при размещении аналогичных средств в форме банковского депозита.</w:t>
      </w:r>
    </w:p>
    <w:p w:rsidR="00C669CA" w:rsidRPr="003377D1" w:rsidRDefault="00C669CA" w:rsidP="003377D1">
      <w:pPr>
        <w:pStyle w:val="a9"/>
        <w:ind w:firstLine="709"/>
        <w:jc w:val="both"/>
        <w:rPr>
          <w:rFonts w:ascii="Bookman Old Style" w:hAnsi="Bookman Old Style"/>
          <w:sz w:val="20"/>
          <w:szCs w:val="20"/>
        </w:rPr>
      </w:pPr>
      <w:r w:rsidRPr="003377D1">
        <w:rPr>
          <w:rFonts w:ascii="Bookman Old Style" w:hAnsi="Bookman Old Style"/>
          <w:sz w:val="20"/>
          <w:szCs w:val="20"/>
        </w:rPr>
        <w:t xml:space="preserve"> </w:t>
      </w:r>
    </w:p>
    <w:p w:rsidR="0010570A" w:rsidRPr="003377D1" w:rsidRDefault="00C669CA" w:rsidP="003377D1">
      <w:pPr>
        <w:pStyle w:val="a9"/>
        <w:ind w:firstLine="709"/>
        <w:jc w:val="both"/>
        <w:rPr>
          <w:rFonts w:ascii="Bookman Old Style" w:hAnsi="Bookman Old Style"/>
          <w:sz w:val="20"/>
          <w:szCs w:val="20"/>
        </w:rPr>
      </w:pPr>
      <w:r w:rsidRPr="003377D1">
        <w:rPr>
          <w:rFonts w:ascii="Bookman Old Style" w:hAnsi="Bookman Old Style"/>
          <w:b/>
          <w:sz w:val="20"/>
          <w:szCs w:val="20"/>
        </w:rPr>
        <w:t>Векселя</w:t>
      </w:r>
      <w:r w:rsidRPr="003377D1">
        <w:rPr>
          <w:rFonts w:ascii="Bookman Old Style" w:hAnsi="Bookman Old Style"/>
          <w:sz w:val="20"/>
          <w:szCs w:val="20"/>
        </w:rPr>
        <w:t xml:space="preserve"> – ордерные ценные бумаги, бывают двух видов: простой вексель (соло) – ценная бумага, содержащая обязательство векселедателя (сускриптера) уплатить в пользу векселедержателя (бенефициария) вексельную сумму в определенный срок.</w:t>
      </w:r>
      <w:r w:rsidR="00403809" w:rsidRPr="003377D1">
        <w:rPr>
          <w:rFonts w:ascii="Bookman Old Style" w:hAnsi="Bookman Old Style"/>
          <w:sz w:val="20"/>
          <w:szCs w:val="20"/>
        </w:rPr>
        <w:t xml:space="preserve"> Переводный вексель (тратта) – ценная бумага, содержащая простое и ничем не обусловленное предложение векселедателя (трассанта), адресованное плательщику (трассату) уплатить в пользу третьего лица – векселедержателя (ремитента) определенную денежную сумму (вексельную сумму) в определенный срок.</w:t>
      </w:r>
    </w:p>
    <w:p w:rsidR="00403809" w:rsidRPr="003377D1" w:rsidRDefault="00403809" w:rsidP="003377D1">
      <w:pPr>
        <w:pStyle w:val="a9"/>
        <w:ind w:firstLine="709"/>
        <w:jc w:val="both"/>
        <w:rPr>
          <w:rFonts w:ascii="Bookman Old Style" w:hAnsi="Bookman Old Style"/>
          <w:sz w:val="20"/>
          <w:szCs w:val="20"/>
        </w:rPr>
      </w:pPr>
      <w:r w:rsidRPr="003377D1">
        <w:rPr>
          <w:rFonts w:ascii="Bookman Old Style" w:hAnsi="Bookman Old Style"/>
          <w:sz w:val="20"/>
          <w:szCs w:val="20"/>
        </w:rPr>
        <w:t xml:space="preserve"> </w:t>
      </w:r>
    </w:p>
    <w:p w:rsidR="0010570A"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sz w:val="20"/>
          <w:szCs w:val="20"/>
        </w:rPr>
        <w:t xml:space="preserve"> </w:t>
      </w:r>
      <w:r w:rsidRPr="003377D1">
        <w:rPr>
          <w:rFonts w:ascii="Bookman Old Style" w:hAnsi="Bookman Old Style"/>
          <w:b/>
          <w:sz w:val="20"/>
          <w:szCs w:val="20"/>
        </w:rPr>
        <w:t>Чеки</w:t>
      </w:r>
      <w:r w:rsidR="00403809" w:rsidRPr="003377D1">
        <w:rPr>
          <w:rFonts w:ascii="Bookman Old Style" w:hAnsi="Bookman Old Style"/>
          <w:sz w:val="20"/>
          <w:szCs w:val="20"/>
        </w:rPr>
        <w:t xml:space="preserve"> – ценная бумага, содержащая ничем не обусловленное письменное распоряжение чекодателя банку уплатить держателю чека обозначенную сумму за счет чекодателя. Срочный документ.  Особенностью является то, что основанием выдачи чека является .Предварительный договор между чекодателем и банком-плательщиком – чековый договор. Акцепт чека — это отметка о согласии банка плательщика перечислить на счет получателя указанную в чеке сумму. чек может быть предъявительским, именным и ордерным. платеж по чеку может быть гарантирован полностью или частично посредством аваля, который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  Гарантия платежа по чеку (аваль) может даваться любым лицом, за исключением плательщика. Авалист отвечает так же, как и тот, за кого он дал аваль. При этом 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403809" w:rsidRPr="003377D1" w:rsidRDefault="00403809" w:rsidP="003377D1">
      <w:pPr>
        <w:pStyle w:val="a9"/>
        <w:ind w:firstLine="709"/>
        <w:jc w:val="both"/>
        <w:rPr>
          <w:rFonts w:ascii="Bookman Old Style" w:hAnsi="Bookman Old Style"/>
          <w:sz w:val="20"/>
          <w:szCs w:val="20"/>
        </w:rPr>
      </w:pPr>
    </w:p>
    <w:p w:rsidR="0010570A"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b/>
          <w:sz w:val="20"/>
          <w:szCs w:val="20"/>
        </w:rPr>
        <w:t xml:space="preserve">  Депозитные и сберегательные сертификаты</w:t>
      </w:r>
      <w:r w:rsidR="00403809" w:rsidRPr="003377D1">
        <w:rPr>
          <w:rFonts w:ascii="Bookman Old Style" w:hAnsi="Bookman Old Style"/>
          <w:sz w:val="20"/>
          <w:szCs w:val="20"/>
        </w:rPr>
        <w:t>. депозитными и сберегательными сертификатами признаются ценные бумаги, удостоверяющие сумму вклада, внесенного в кредитную организацию, и права вкладчика (держателя сертификата</w:t>
      </w:r>
      <w:r w:rsidR="00EB0F66" w:rsidRPr="003377D1">
        <w:rPr>
          <w:rFonts w:ascii="Bookman Old Style" w:hAnsi="Bookman Old Style"/>
          <w:sz w:val="20"/>
          <w:szCs w:val="20"/>
        </w:rPr>
        <w:t xml:space="preserve"> - бенефициара</w:t>
      </w:r>
      <w:r w:rsidR="00403809" w:rsidRPr="003377D1">
        <w:rPr>
          <w:rFonts w:ascii="Bookman Old Style" w:hAnsi="Bookman Old Style"/>
          <w:sz w:val="20"/>
          <w:szCs w:val="20"/>
        </w:rPr>
        <w:t>) на получение по истечении установленного срока суммы вклада и обусловленных в сертификате процентов в кредитной организации, выдавшей сертификат, или в любом ее филиале.</w:t>
      </w:r>
      <w:r w:rsidR="00EB0F66" w:rsidRPr="003377D1">
        <w:rPr>
          <w:rFonts w:ascii="Bookman Old Style" w:hAnsi="Bookman Old Style"/>
          <w:sz w:val="20"/>
          <w:szCs w:val="20"/>
        </w:rPr>
        <w:t xml:space="preserve"> Сберегательные сертификаты выдаются вкладчикам – гражданам, а депозитные – юридическим лицам. сертификаты могут быть именными или на предъявителя. Права, удостоверенные именным сертификатом, передаются в порядке, установленном для уступки требований (цессии). Именной сберегательный (депозитный) сертификат должен иметь место для оформления уступки требования (цессии), а также может иметь дополнительные листы - приложения к именному сертификату, на которых оформляются цессии. Для передачи прав другому лицу, удостоверенных сертификатом на предъявителя, достаточно вручения сертификата этому лицу.</w:t>
      </w:r>
    </w:p>
    <w:p w:rsidR="00403809" w:rsidRPr="003377D1" w:rsidRDefault="00403809" w:rsidP="003377D1">
      <w:pPr>
        <w:pStyle w:val="a9"/>
        <w:ind w:firstLine="709"/>
        <w:jc w:val="both"/>
        <w:rPr>
          <w:rFonts w:ascii="Bookman Old Style" w:hAnsi="Bookman Old Style"/>
          <w:sz w:val="20"/>
          <w:szCs w:val="20"/>
        </w:rPr>
      </w:pPr>
    </w:p>
    <w:p w:rsidR="0010570A"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b/>
          <w:sz w:val="20"/>
          <w:szCs w:val="20"/>
        </w:rPr>
        <w:t xml:space="preserve"> Банковские сберегательные книжки на предъявителя</w:t>
      </w:r>
      <w:r w:rsidR="00BA252B" w:rsidRPr="003377D1">
        <w:rPr>
          <w:rFonts w:ascii="Bookman Old Style" w:hAnsi="Bookman Old Style"/>
          <w:sz w:val="20"/>
          <w:szCs w:val="20"/>
        </w:rPr>
        <w:t xml:space="preserve"> – ценная бцмага, удостоверяющая право ее предъявителя распоряжаться средствами, внесенными на открытый под выданную сберегательную книжку счет, право вносить новые денежные суммы с отражением факта внесения в сберегательной книжке, а также- право получать процентное вознаграждение, начисляемое за пользование денежными средствами. Она является одной из форм договора банковского вклада. В соответствии со ст. 843 ГК РФ заключение договора банковского вклада с гражданином и внесение им денежных средств во вклад может быть удостоверено сберегательной книжкой.</w:t>
      </w:r>
    </w:p>
    <w:p w:rsidR="00BA252B" w:rsidRPr="003377D1" w:rsidRDefault="00BA252B" w:rsidP="003377D1">
      <w:pPr>
        <w:pStyle w:val="a9"/>
        <w:ind w:firstLine="709"/>
        <w:jc w:val="both"/>
        <w:rPr>
          <w:rFonts w:ascii="Bookman Old Style" w:hAnsi="Bookman Old Style"/>
          <w:sz w:val="20"/>
          <w:szCs w:val="20"/>
        </w:rPr>
      </w:pPr>
    </w:p>
    <w:p w:rsidR="0010570A"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b/>
          <w:sz w:val="20"/>
          <w:szCs w:val="20"/>
        </w:rPr>
        <w:t xml:space="preserve"> Коносаменты</w:t>
      </w:r>
      <w:r w:rsidR="00BA252B" w:rsidRPr="003377D1">
        <w:rPr>
          <w:rFonts w:ascii="Bookman Old Style" w:hAnsi="Bookman Old Style"/>
          <w:sz w:val="20"/>
          <w:szCs w:val="20"/>
        </w:rPr>
        <w:t xml:space="preserve"> – ценная бумага, выдаваемая морским перевозчиком в удостоверение факта приема груза к перевозке (заключения договора перевозки) и обязанности эмитента по предъявлении данного документа и уплате платежей за перевозку выдать принятый груз в сохранности. Отношения по коносаменту регулируются КТМ РФ. Коносамент может быть выдан на имя определенного получателя (именной коносамент), приказу отправителя илди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отправителя.</w:t>
      </w:r>
    </w:p>
    <w:p w:rsidR="00BA252B" w:rsidRPr="003377D1" w:rsidRDefault="00BA252B" w:rsidP="003377D1">
      <w:pPr>
        <w:pStyle w:val="a9"/>
        <w:ind w:firstLine="709"/>
        <w:jc w:val="both"/>
        <w:rPr>
          <w:rFonts w:ascii="Bookman Old Style" w:hAnsi="Bookman Old Style"/>
          <w:sz w:val="20"/>
          <w:szCs w:val="20"/>
        </w:rPr>
      </w:pPr>
    </w:p>
    <w:p w:rsidR="0010570A" w:rsidRPr="003377D1" w:rsidRDefault="00BE0050" w:rsidP="003377D1">
      <w:pPr>
        <w:pStyle w:val="a9"/>
        <w:ind w:firstLine="709"/>
        <w:jc w:val="both"/>
        <w:rPr>
          <w:rFonts w:ascii="Bookman Old Style" w:hAnsi="Bookman Old Style" w:cs="Tahoma"/>
          <w:sz w:val="20"/>
          <w:szCs w:val="20"/>
        </w:rPr>
      </w:pPr>
      <w:r w:rsidRPr="003377D1">
        <w:rPr>
          <w:rFonts w:ascii="Bookman Old Style" w:hAnsi="Bookman Old Style"/>
          <w:b/>
          <w:sz w:val="20"/>
          <w:szCs w:val="20"/>
        </w:rPr>
        <w:lastRenderedPageBreak/>
        <w:t xml:space="preserve"> Акции</w:t>
      </w:r>
      <w:r w:rsidR="0010570A" w:rsidRPr="003377D1">
        <w:rPr>
          <w:rFonts w:ascii="Bookman Old Style" w:hAnsi="Bookman Old Style"/>
          <w:sz w:val="20"/>
          <w:szCs w:val="20"/>
        </w:rPr>
        <w:t xml:space="preserve"> - </w:t>
      </w:r>
      <w:r w:rsidR="0010570A" w:rsidRPr="003377D1">
        <w:rPr>
          <w:rFonts w:ascii="Bookman Old Style" w:hAnsi="Bookman Old Style" w:cs="Tahoma"/>
          <w:sz w:val="20"/>
          <w:szCs w:val="20"/>
        </w:rPr>
        <w:t>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Акции бывают простыми (дают право на получение дивидендов, на управление делами АО (голосующие)), на получение имущества по сле ликвидации АО после держателей привилегированных акций), привилегированными (безусловное право на получение дивидендов, не принимают участия в управлении делами АО (неголосующие), дают преимущественное право на получение части имущества после ликвидации). В РФ только именные акции.</w:t>
      </w:r>
    </w:p>
    <w:p w:rsidR="008E111F" w:rsidRPr="003377D1" w:rsidRDefault="008E111F" w:rsidP="003377D1">
      <w:pPr>
        <w:pStyle w:val="a9"/>
        <w:ind w:firstLine="709"/>
        <w:jc w:val="both"/>
        <w:rPr>
          <w:rFonts w:ascii="Bookman Old Style" w:hAnsi="Bookman Old Style"/>
          <w:sz w:val="20"/>
          <w:szCs w:val="20"/>
        </w:rPr>
      </w:pPr>
      <w:r w:rsidRPr="003377D1">
        <w:rPr>
          <w:rFonts w:ascii="Bookman Old Style" w:hAnsi="Bookman Old Style"/>
          <w:sz w:val="20"/>
          <w:szCs w:val="20"/>
        </w:rPr>
        <w:t xml:space="preserve"> </w:t>
      </w:r>
    </w:p>
    <w:p w:rsidR="008E111F"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b/>
          <w:sz w:val="20"/>
          <w:szCs w:val="20"/>
        </w:rPr>
        <w:t>Приватизационные ценные бумаги</w:t>
      </w:r>
      <w:r w:rsidR="008E111F" w:rsidRPr="003377D1">
        <w:rPr>
          <w:rFonts w:ascii="Bookman Old Style" w:hAnsi="Bookman Old Style"/>
          <w:sz w:val="20"/>
          <w:szCs w:val="20"/>
        </w:rPr>
        <w:t xml:space="preserve"> - может быть государственной ценной бумагой целевого назначения на предъявителя, иметь номинальную стоимость в рублях и использоваться как платежное средство для приобретения объектов приватизации.</w:t>
      </w:r>
    </w:p>
    <w:p w:rsidR="00BE0050"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sz w:val="20"/>
          <w:szCs w:val="20"/>
        </w:rPr>
        <w:t>.</w:t>
      </w:r>
      <w:r w:rsidR="008E111F" w:rsidRPr="003377D1">
        <w:rPr>
          <w:rFonts w:ascii="Bookman Old Style" w:hAnsi="Bookman Old Style"/>
          <w:noProof/>
          <w:sz w:val="20"/>
          <w:szCs w:val="20"/>
        </w:rPr>
        <w:t xml:space="preserve"> </w:t>
      </w:r>
    </w:p>
    <w:p w:rsidR="00BE0050"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sz w:val="20"/>
          <w:szCs w:val="20"/>
        </w:rPr>
        <w:t>Другие документы, которые законодательством о ценных бумагах или в установленном им порядке отнесены к числу ценных бумаг.В статье 912 второй части ГК РФ вводятся еще четыре вида ценных бумаг:</w:t>
      </w:r>
    </w:p>
    <w:p w:rsidR="00BE0050"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b/>
          <w:sz w:val="20"/>
          <w:szCs w:val="20"/>
        </w:rPr>
        <w:t>двойное складское свидетельство</w:t>
      </w:r>
      <w:r w:rsidR="008E111F" w:rsidRPr="003377D1">
        <w:rPr>
          <w:rFonts w:ascii="Bookman Old Style" w:hAnsi="Bookman Old Style"/>
          <w:sz w:val="20"/>
          <w:szCs w:val="20"/>
        </w:rPr>
        <w:t xml:space="preserve"> – ордерная ценная бумага, состоящая из двух частей – складского и залогового свидетельств, удостоверяющая факт приема эмитентом (товарным складом) на хранение определенного товара (заключение договора хранения) и удостоверяющая обязанность эмитента по предъявлении данного документа и уплате платежей за хранение возвратить принятый на хранение товарв сохранности. Части двойного свидетельства могут быть приобретены различными лицами. В этом случае каждая из частей двойного складского свидетельства обретает свойства ценной бумаги, удостоверюящей особые права.</w:t>
      </w:r>
    </w:p>
    <w:p w:rsidR="008E111F" w:rsidRPr="003377D1" w:rsidRDefault="008E111F" w:rsidP="003377D1">
      <w:pPr>
        <w:pStyle w:val="a9"/>
        <w:ind w:firstLine="709"/>
        <w:jc w:val="both"/>
        <w:rPr>
          <w:rFonts w:ascii="Bookman Old Style" w:hAnsi="Bookman Old Style"/>
          <w:sz w:val="20"/>
          <w:szCs w:val="20"/>
        </w:rPr>
      </w:pPr>
    </w:p>
    <w:p w:rsidR="008E111F"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b/>
          <w:sz w:val="20"/>
          <w:szCs w:val="20"/>
        </w:rPr>
        <w:t>складское свидетельство как часть двойного свидетельства</w:t>
      </w:r>
      <w:r w:rsidR="00DA4C27" w:rsidRPr="003377D1">
        <w:rPr>
          <w:rFonts w:ascii="Bookman Old Style" w:hAnsi="Bookman Old Style"/>
          <w:sz w:val="20"/>
          <w:szCs w:val="20"/>
        </w:rPr>
        <w:t xml:space="preserve"> .</w:t>
      </w:r>
    </w:p>
    <w:p w:rsidR="00BE0050"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b/>
          <w:sz w:val="20"/>
          <w:szCs w:val="20"/>
        </w:rPr>
        <w:t>залоговое свидетельство (варрант) к</w:t>
      </w:r>
      <w:r w:rsidR="00DA4C27" w:rsidRPr="003377D1">
        <w:rPr>
          <w:rFonts w:ascii="Bookman Old Style" w:hAnsi="Bookman Old Style"/>
          <w:b/>
          <w:sz w:val="20"/>
          <w:szCs w:val="20"/>
        </w:rPr>
        <w:t>ак часть двойного</w:t>
      </w:r>
      <w:r w:rsidR="00DA4C27" w:rsidRPr="003377D1">
        <w:rPr>
          <w:rFonts w:ascii="Bookman Old Style" w:hAnsi="Bookman Old Style"/>
          <w:sz w:val="20"/>
          <w:szCs w:val="20"/>
        </w:rPr>
        <w:t xml:space="preserve"> </w:t>
      </w:r>
      <w:r w:rsidR="00DA4C27" w:rsidRPr="003377D1">
        <w:rPr>
          <w:rFonts w:ascii="Bookman Old Style" w:hAnsi="Bookman Old Style"/>
          <w:b/>
          <w:sz w:val="20"/>
          <w:szCs w:val="20"/>
        </w:rPr>
        <w:t>свидетельства</w:t>
      </w:r>
      <w:r w:rsidR="00DA4C27" w:rsidRPr="003377D1">
        <w:rPr>
          <w:rFonts w:ascii="Bookman Old Style" w:hAnsi="Bookman Old Style"/>
          <w:sz w:val="20"/>
          <w:szCs w:val="20"/>
        </w:rPr>
        <w:t xml:space="preserve"> - свидетельство товарного склада о приёме на хранение определённого товара, то есть варрант — это товарораспределительный документ, который используется при продаже и залоге товара.</w:t>
      </w:r>
    </w:p>
    <w:p w:rsidR="00DA4C27" w:rsidRPr="003377D1" w:rsidRDefault="00DA4C27" w:rsidP="003377D1">
      <w:pPr>
        <w:pStyle w:val="a9"/>
        <w:ind w:firstLine="709"/>
        <w:jc w:val="both"/>
        <w:rPr>
          <w:rFonts w:ascii="Bookman Old Style" w:hAnsi="Bookman Old Style"/>
          <w:sz w:val="20"/>
          <w:szCs w:val="20"/>
        </w:rPr>
      </w:pPr>
      <w:r w:rsidRPr="003377D1">
        <w:rPr>
          <w:rFonts w:ascii="Bookman Old Style" w:hAnsi="Bookman Old Style"/>
          <w:b/>
          <w:sz w:val="20"/>
          <w:szCs w:val="20"/>
        </w:rPr>
        <w:t>простое складское свидетельство</w:t>
      </w:r>
      <w:r w:rsidRPr="003377D1">
        <w:rPr>
          <w:rFonts w:ascii="Bookman Old Style" w:hAnsi="Bookman Old Style"/>
          <w:sz w:val="20"/>
          <w:szCs w:val="20"/>
        </w:rPr>
        <w:t xml:space="preserve"> - удостоверяющая факт приема эмитентом (товарным складом) на хранение определенного товара (заключение договора хранения) и удостоверяющая обязанность эмитента по предъявлении данного документа и уплате платежей за хранение возвратить принятый на хранение товарв сохранности.</w:t>
      </w:r>
    </w:p>
    <w:p w:rsidR="00DA4C27" w:rsidRPr="003377D1" w:rsidRDefault="00DA4C27" w:rsidP="003377D1">
      <w:pPr>
        <w:pStyle w:val="a9"/>
        <w:ind w:firstLine="709"/>
        <w:jc w:val="both"/>
        <w:rPr>
          <w:rFonts w:ascii="Bookman Old Style" w:hAnsi="Bookman Old Style"/>
          <w:sz w:val="20"/>
          <w:szCs w:val="20"/>
        </w:rPr>
      </w:pPr>
    </w:p>
    <w:p w:rsidR="00BE0050" w:rsidRPr="003377D1" w:rsidRDefault="00BE0050" w:rsidP="003377D1">
      <w:pPr>
        <w:pStyle w:val="a9"/>
        <w:ind w:firstLine="709"/>
        <w:jc w:val="both"/>
        <w:rPr>
          <w:rFonts w:ascii="Bookman Old Style" w:hAnsi="Bookman Old Style"/>
          <w:sz w:val="20"/>
          <w:szCs w:val="20"/>
        </w:rPr>
      </w:pPr>
    </w:p>
    <w:p w:rsidR="00BE0050"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sz w:val="20"/>
          <w:szCs w:val="20"/>
        </w:rPr>
        <w:t>Пятнадцатый вид российской ценной бумаги дается в Федеральном законе «Об ипотеке (залоге недвижимости)» от 16 ию</w:t>
      </w:r>
      <w:r w:rsidR="00DA4C27" w:rsidRPr="003377D1">
        <w:rPr>
          <w:rFonts w:ascii="Bookman Old Style" w:hAnsi="Bookman Old Style"/>
          <w:sz w:val="20"/>
          <w:szCs w:val="20"/>
        </w:rPr>
        <w:t xml:space="preserve">ля 1998 г. № 102-03 – </w:t>
      </w:r>
      <w:r w:rsidR="00DA4C27" w:rsidRPr="003377D1">
        <w:rPr>
          <w:rFonts w:ascii="Bookman Old Style" w:hAnsi="Bookman Old Style"/>
          <w:b/>
          <w:sz w:val="20"/>
          <w:szCs w:val="20"/>
        </w:rPr>
        <w:t xml:space="preserve">закладная </w:t>
      </w:r>
      <w:r w:rsidR="00DA4C27" w:rsidRPr="003377D1">
        <w:rPr>
          <w:rFonts w:ascii="Bookman Old Style" w:hAnsi="Bookman Old Style"/>
          <w:sz w:val="20"/>
          <w:szCs w:val="20"/>
        </w:rPr>
        <w:t>– именная ценная бумага, удостоверяющая право ее держателя на получение от должника денежного обязательства, обсепеченного ипотекой имущества, указанного в закладной, без предстваления других доказательств существования этого обязатлеьства, исполнения такового, а также – право залога на указанное в закладной имуществуо долждника или третьего лица.</w:t>
      </w:r>
      <w:r w:rsidR="008A046A" w:rsidRPr="003377D1">
        <w:rPr>
          <w:rFonts w:ascii="Bookman Old Style" w:hAnsi="Bookman Old Style"/>
          <w:sz w:val="20"/>
          <w:szCs w:val="20"/>
        </w:rPr>
        <w:t xml:space="preserve"> Закладная не является эмиссионной ценной бумагой, а поэтому выдача одним лицом двух или более закладных не является их выпуском, не подлежит государственной регистрации в соответствии с правилами Закона «О рынке ценных бумаг»</w:t>
      </w:r>
    </w:p>
    <w:p w:rsidR="00DA4C27" w:rsidRPr="003377D1" w:rsidRDefault="00DA4C27" w:rsidP="003377D1">
      <w:pPr>
        <w:pStyle w:val="a9"/>
        <w:ind w:firstLine="709"/>
        <w:jc w:val="both"/>
        <w:rPr>
          <w:rFonts w:ascii="Bookman Old Style" w:hAnsi="Bookman Old Style"/>
          <w:sz w:val="20"/>
          <w:szCs w:val="20"/>
        </w:rPr>
      </w:pPr>
    </w:p>
    <w:p w:rsidR="00C570FF" w:rsidRPr="003377D1" w:rsidRDefault="00C570FF" w:rsidP="003377D1">
      <w:pPr>
        <w:pStyle w:val="a9"/>
        <w:ind w:firstLine="709"/>
        <w:jc w:val="both"/>
        <w:rPr>
          <w:rFonts w:ascii="Bookman Old Style" w:hAnsi="Bookman Old Style"/>
          <w:i/>
          <w:sz w:val="20"/>
          <w:szCs w:val="20"/>
        </w:rPr>
      </w:pPr>
      <w:r w:rsidRPr="003377D1">
        <w:rPr>
          <w:rFonts w:ascii="Bookman Old Style" w:hAnsi="Bookman Old Style"/>
          <w:i/>
          <w:sz w:val="20"/>
          <w:szCs w:val="20"/>
        </w:rPr>
        <w:t>Существует следующая</w:t>
      </w:r>
      <w:r w:rsidR="00BE0050" w:rsidRPr="003377D1">
        <w:rPr>
          <w:rFonts w:ascii="Bookman Old Style" w:hAnsi="Bookman Old Style"/>
          <w:i/>
          <w:sz w:val="20"/>
          <w:szCs w:val="20"/>
        </w:rPr>
        <w:t xml:space="preserve"> общая </w:t>
      </w:r>
      <w:r w:rsidRPr="003377D1">
        <w:rPr>
          <w:rFonts w:ascii="Bookman Old Style" w:hAnsi="Bookman Old Style"/>
          <w:i/>
          <w:sz w:val="20"/>
          <w:szCs w:val="20"/>
        </w:rPr>
        <w:t xml:space="preserve"> классификация ценных бумаг:</w:t>
      </w:r>
    </w:p>
    <w:p w:rsidR="00C570FF" w:rsidRPr="003377D1" w:rsidRDefault="003377D1" w:rsidP="003377D1">
      <w:pPr>
        <w:pStyle w:val="a9"/>
        <w:ind w:firstLine="709"/>
        <w:jc w:val="both"/>
        <w:rPr>
          <w:rFonts w:ascii="Bookman Old Style" w:hAnsi="Bookman Old Style"/>
          <w:sz w:val="20"/>
          <w:szCs w:val="20"/>
          <w:u w:val="single"/>
        </w:rPr>
      </w:pPr>
      <w:r>
        <w:rPr>
          <w:rFonts w:ascii="Bookman Old Style" w:hAnsi="Bookman Old Style"/>
          <w:sz w:val="20"/>
          <w:szCs w:val="20"/>
          <w:u w:val="single"/>
        </w:rPr>
        <w:t xml:space="preserve">1) </w:t>
      </w:r>
      <w:r w:rsidR="00C570FF" w:rsidRPr="003377D1">
        <w:rPr>
          <w:rFonts w:ascii="Bookman Old Style" w:hAnsi="Bookman Old Style"/>
          <w:sz w:val="20"/>
          <w:szCs w:val="20"/>
          <w:u w:val="single"/>
        </w:rPr>
        <w:t>по соновной функции, выполняемой ценной бумагой:</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а) сберегательные ценные бумаги:</w:t>
      </w:r>
    </w:p>
    <w:p w:rsidR="00C570FF" w:rsidRPr="003377D1" w:rsidRDefault="00C570FF" w:rsidP="003377D1">
      <w:pPr>
        <w:pStyle w:val="a9"/>
        <w:numPr>
          <w:ilvl w:val="0"/>
          <w:numId w:val="8"/>
        </w:numPr>
        <w:jc w:val="both"/>
        <w:rPr>
          <w:rFonts w:ascii="Bookman Old Style" w:hAnsi="Bookman Old Style"/>
          <w:sz w:val="20"/>
          <w:szCs w:val="20"/>
        </w:rPr>
      </w:pPr>
      <w:r w:rsidRPr="003377D1">
        <w:rPr>
          <w:rFonts w:ascii="Bookman Old Style" w:hAnsi="Bookman Old Style"/>
          <w:sz w:val="20"/>
          <w:szCs w:val="20"/>
        </w:rPr>
        <w:t xml:space="preserve">сберегательные сертификаты </w:t>
      </w:r>
    </w:p>
    <w:p w:rsidR="00C570FF" w:rsidRPr="003377D1" w:rsidRDefault="00C570FF" w:rsidP="003377D1">
      <w:pPr>
        <w:pStyle w:val="a9"/>
        <w:numPr>
          <w:ilvl w:val="0"/>
          <w:numId w:val="8"/>
        </w:numPr>
        <w:jc w:val="both"/>
        <w:rPr>
          <w:rFonts w:ascii="Bookman Old Style" w:hAnsi="Bookman Old Style"/>
          <w:sz w:val="20"/>
          <w:szCs w:val="20"/>
        </w:rPr>
      </w:pPr>
      <w:r w:rsidRPr="003377D1">
        <w:rPr>
          <w:rFonts w:ascii="Bookman Old Style" w:hAnsi="Bookman Old Style"/>
          <w:sz w:val="20"/>
          <w:szCs w:val="20"/>
        </w:rPr>
        <w:t xml:space="preserve">облигации </w:t>
      </w:r>
    </w:p>
    <w:p w:rsidR="00C570FF" w:rsidRPr="003377D1" w:rsidRDefault="00C570FF" w:rsidP="003377D1">
      <w:pPr>
        <w:pStyle w:val="a9"/>
        <w:numPr>
          <w:ilvl w:val="0"/>
          <w:numId w:val="8"/>
        </w:numPr>
        <w:jc w:val="both"/>
        <w:rPr>
          <w:rFonts w:ascii="Bookman Old Style" w:hAnsi="Bookman Old Style"/>
          <w:sz w:val="20"/>
          <w:szCs w:val="20"/>
        </w:rPr>
      </w:pPr>
      <w:r w:rsidRPr="003377D1">
        <w:rPr>
          <w:rFonts w:ascii="Bookman Old Style" w:hAnsi="Bookman Old Style"/>
          <w:sz w:val="20"/>
          <w:szCs w:val="20"/>
        </w:rPr>
        <w:t>акции</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б) чеки</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в) вексель</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г) товарораспорядительные ценные бумаги</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д) приватизационные ценные бумаги</w:t>
      </w:r>
    </w:p>
    <w:p w:rsidR="00C570FF" w:rsidRPr="003377D1" w:rsidRDefault="003377D1" w:rsidP="003377D1">
      <w:pPr>
        <w:pStyle w:val="a9"/>
        <w:ind w:firstLine="709"/>
        <w:jc w:val="both"/>
        <w:rPr>
          <w:rFonts w:ascii="Bookman Old Style" w:hAnsi="Bookman Old Style"/>
          <w:sz w:val="20"/>
          <w:szCs w:val="20"/>
          <w:u w:val="single"/>
        </w:rPr>
      </w:pPr>
      <w:r w:rsidRPr="003377D1">
        <w:rPr>
          <w:rFonts w:ascii="Bookman Old Style" w:hAnsi="Bookman Old Style"/>
          <w:sz w:val="20"/>
          <w:szCs w:val="20"/>
          <w:u w:val="single"/>
        </w:rPr>
        <w:t xml:space="preserve">2) </w:t>
      </w:r>
      <w:r w:rsidR="00C570FF" w:rsidRPr="003377D1">
        <w:rPr>
          <w:rFonts w:ascii="Bookman Old Style" w:hAnsi="Bookman Old Style"/>
          <w:sz w:val="20"/>
          <w:szCs w:val="20"/>
          <w:u w:val="single"/>
        </w:rPr>
        <w:t>по способу установления управомоченного лица</w:t>
      </w:r>
      <w:r w:rsidR="00BE0050" w:rsidRPr="003377D1">
        <w:rPr>
          <w:rFonts w:ascii="Bookman Old Style" w:hAnsi="Bookman Old Style"/>
          <w:sz w:val="20"/>
          <w:szCs w:val="20"/>
          <w:u w:val="single"/>
        </w:rPr>
        <w:t>, т.е. того,кому могут принадлежать права, удостоверенные ценной бумагой (аналогично ст.145 ГК РФ)</w:t>
      </w:r>
      <w:r w:rsidR="00C570FF" w:rsidRPr="003377D1">
        <w:rPr>
          <w:rFonts w:ascii="Bookman Old Style" w:hAnsi="Bookman Old Style"/>
          <w:sz w:val="20"/>
          <w:szCs w:val="20"/>
          <w:u w:val="single"/>
        </w:rPr>
        <w:t>:</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а) именные</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б) ордерные</w:t>
      </w:r>
    </w:p>
    <w:p w:rsidR="00C570FF" w:rsidRPr="003377D1" w:rsidRDefault="00C570FF" w:rsidP="003377D1">
      <w:pPr>
        <w:pStyle w:val="a9"/>
        <w:ind w:firstLine="709"/>
        <w:jc w:val="both"/>
        <w:rPr>
          <w:rFonts w:ascii="Bookman Old Style" w:hAnsi="Bookman Old Style"/>
          <w:sz w:val="20"/>
          <w:szCs w:val="20"/>
        </w:rPr>
      </w:pPr>
      <w:r w:rsidRPr="003377D1">
        <w:rPr>
          <w:rFonts w:ascii="Bookman Old Style" w:hAnsi="Bookman Old Style"/>
          <w:sz w:val="20"/>
          <w:szCs w:val="20"/>
        </w:rPr>
        <w:t>в) предъявительские</w:t>
      </w:r>
    </w:p>
    <w:p w:rsidR="00BE0050" w:rsidRPr="003377D1" w:rsidRDefault="00BE0050" w:rsidP="003377D1">
      <w:pPr>
        <w:pStyle w:val="a9"/>
        <w:ind w:firstLine="709"/>
        <w:jc w:val="both"/>
        <w:rPr>
          <w:rFonts w:ascii="Bookman Old Style" w:hAnsi="Bookman Old Style"/>
          <w:i/>
          <w:sz w:val="20"/>
          <w:szCs w:val="20"/>
        </w:rPr>
      </w:pPr>
      <w:r w:rsidRPr="003377D1">
        <w:rPr>
          <w:rFonts w:ascii="Bookman Old Style" w:hAnsi="Bookman Old Style"/>
          <w:i/>
          <w:sz w:val="20"/>
          <w:szCs w:val="20"/>
        </w:rPr>
        <w:t>Ценные бумаги можно классифицировать и по следующим признакам:</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срок существования</w:t>
      </w:r>
      <w:r w:rsidRPr="003377D1">
        <w:rPr>
          <w:rFonts w:ascii="Bookman Old Style" w:hAnsi="Bookman Old Style"/>
          <w:sz w:val="20"/>
          <w:szCs w:val="20"/>
        </w:rPr>
        <w:t>: срочные (краткосрочные, среднесрочные, долгосрочные и отзывные) и бессрочные;</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форма существования</w:t>
      </w:r>
      <w:r w:rsidRPr="003377D1">
        <w:rPr>
          <w:rFonts w:ascii="Bookman Old Style" w:hAnsi="Bookman Old Style"/>
          <w:sz w:val="20"/>
          <w:szCs w:val="20"/>
        </w:rPr>
        <w:t>: бумажная (документарная) или безбумажная (бездокументарная);</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sz w:val="20"/>
          <w:szCs w:val="20"/>
        </w:rPr>
        <w:t>форма обращения (порядок передачи): передаваемые по соглашению сторон (путем вручения, путем цессии) или ордерные (передаваемые путем приказа владельца - индоссамента);</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форма выпуска</w:t>
      </w:r>
      <w:r w:rsidRPr="003377D1">
        <w:rPr>
          <w:rFonts w:ascii="Bookman Old Style" w:hAnsi="Bookman Old Style"/>
          <w:sz w:val="20"/>
          <w:szCs w:val="20"/>
        </w:rPr>
        <w:t>: эмиссионные или неэмиссионные;</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lastRenderedPageBreak/>
        <w:t>регистрируемость</w:t>
      </w:r>
      <w:r w:rsidRPr="003377D1">
        <w:rPr>
          <w:rFonts w:ascii="Bookman Old Style" w:hAnsi="Bookman Old Style"/>
          <w:sz w:val="20"/>
          <w:szCs w:val="20"/>
        </w:rPr>
        <w:t>: регистрируемые (государственная регистрация или регистрация ЦБ РФ) и нерегистрируемые;</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национальная принадлежность</w:t>
      </w:r>
      <w:r w:rsidRPr="003377D1">
        <w:rPr>
          <w:rFonts w:ascii="Bookman Old Style" w:hAnsi="Bookman Old Style"/>
          <w:sz w:val="20"/>
          <w:szCs w:val="20"/>
        </w:rPr>
        <w:t>: российские или иностранные;</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вид эмитента</w:t>
      </w:r>
      <w:r w:rsidRPr="003377D1">
        <w:rPr>
          <w:rFonts w:ascii="Bookman Old Style" w:hAnsi="Bookman Old Style"/>
          <w:sz w:val="20"/>
          <w:szCs w:val="20"/>
        </w:rPr>
        <w:t>: государственный (федеральный или муниципальный) и негосударственный (корпоративный или частный);</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обращаемость</w:t>
      </w:r>
      <w:r w:rsidRPr="003377D1">
        <w:rPr>
          <w:rFonts w:ascii="Bookman Old Style" w:hAnsi="Bookman Old Style"/>
          <w:sz w:val="20"/>
          <w:szCs w:val="20"/>
        </w:rPr>
        <w:t>: рыночные или нерыночные;</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цели использования</w:t>
      </w:r>
      <w:r w:rsidRPr="003377D1">
        <w:rPr>
          <w:rFonts w:ascii="Bookman Old Style" w:hAnsi="Bookman Old Style"/>
          <w:sz w:val="20"/>
          <w:szCs w:val="20"/>
        </w:rPr>
        <w:t>: инвестиционные (цель - получение дохода) или неинвестиционные (обслуживают оборот на товарных рынках);</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уровень риска</w:t>
      </w:r>
      <w:r w:rsidRPr="003377D1">
        <w:rPr>
          <w:rFonts w:ascii="Bookman Old Style" w:hAnsi="Bookman Old Style"/>
          <w:sz w:val="20"/>
          <w:szCs w:val="20"/>
        </w:rPr>
        <w:t>: безрисковые или рисковые (низкорисковые, среднерисковые или высокорисковые);</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наличие начисляемого дохода</w:t>
      </w:r>
      <w:r w:rsidRPr="003377D1">
        <w:rPr>
          <w:rFonts w:ascii="Bookman Old Style" w:hAnsi="Bookman Old Style"/>
          <w:sz w:val="20"/>
          <w:szCs w:val="20"/>
        </w:rPr>
        <w:t>: бездоходные или доходные (процентные, дивидендные, дисконтные);</w:t>
      </w:r>
    </w:p>
    <w:p w:rsidR="00BE0050" w:rsidRPr="003377D1" w:rsidRDefault="00BE0050" w:rsidP="003377D1">
      <w:pPr>
        <w:pStyle w:val="a9"/>
        <w:numPr>
          <w:ilvl w:val="0"/>
          <w:numId w:val="9"/>
        </w:numPr>
        <w:jc w:val="both"/>
        <w:rPr>
          <w:rFonts w:ascii="Bookman Old Style" w:hAnsi="Bookman Old Style"/>
          <w:sz w:val="20"/>
          <w:szCs w:val="20"/>
        </w:rPr>
      </w:pPr>
      <w:r w:rsidRPr="003377D1">
        <w:rPr>
          <w:rFonts w:ascii="Bookman Old Style" w:hAnsi="Bookman Old Style"/>
          <w:b/>
          <w:sz w:val="20"/>
          <w:szCs w:val="20"/>
        </w:rPr>
        <w:t>номинал:</w:t>
      </w:r>
      <w:r w:rsidRPr="003377D1">
        <w:rPr>
          <w:rFonts w:ascii="Bookman Old Style" w:hAnsi="Bookman Old Style"/>
          <w:sz w:val="20"/>
          <w:szCs w:val="20"/>
        </w:rPr>
        <w:t xml:space="preserve"> постоянный или переменный.</w:t>
      </w:r>
    </w:p>
    <w:p w:rsidR="00BE0050" w:rsidRPr="003377D1" w:rsidRDefault="00BE0050" w:rsidP="003377D1">
      <w:pPr>
        <w:pStyle w:val="a9"/>
        <w:ind w:firstLine="709"/>
        <w:jc w:val="both"/>
        <w:rPr>
          <w:rFonts w:ascii="Bookman Old Style" w:hAnsi="Bookman Old Style"/>
          <w:sz w:val="20"/>
          <w:szCs w:val="20"/>
        </w:rPr>
      </w:pPr>
      <w:r w:rsidRPr="003377D1">
        <w:rPr>
          <w:rFonts w:ascii="Bookman Old Style" w:hAnsi="Bookman Old Style"/>
          <w:noProof/>
          <w:sz w:val="20"/>
          <w:szCs w:val="20"/>
        </w:rPr>
        <w:drawing>
          <wp:inline distT="0" distB="0" distL="0" distR="0">
            <wp:extent cx="4191000" cy="1981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1238" t="31054" r="8520" b="24501"/>
                    <a:stretch>
                      <a:fillRect/>
                    </a:stretch>
                  </pic:blipFill>
                  <pic:spPr bwMode="auto">
                    <a:xfrm>
                      <a:off x="0" y="0"/>
                      <a:ext cx="4191000" cy="1981200"/>
                    </a:xfrm>
                    <a:prstGeom prst="rect">
                      <a:avLst/>
                    </a:prstGeom>
                    <a:noFill/>
                    <a:ln w="9525">
                      <a:noFill/>
                      <a:miter lim="800000"/>
                      <a:headEnd/>
                      <a:tailEnd/>
                    </a:ln>
                  </pic:spPr>
                </pic:pic>
              </a:graphicData>
            </a:graphic>
          </wp:inline>
        </w:drawing>
      </w:r>
      <w:r w:rsidR="0010570A" w:rsidRPr="003377D1">
        <w:rPr>
          <w:rStyle w:val="a6"/>
          <w:rFonts w:ascii="Bookman Old Style" w:hAnsi="Bookman Old Style"/>
          <w:sz w:val="20"/>
          <w:szCs w:val="20"/>
        </w:rPr>
        <w:footnoteReference w:id="5"/>
      </w:r>
    </w:p>
    <w:p w:rsidR="0010570A" w:rsidRPr="003377D1" w:rsidRDefault="0010570A" w:rsidP="003377D1">
      <w:pPr>
        <w:pStyle w:val="a9"/>
        <w:ind w:firstLine="709"/>
        <w:jc w:val="both"/>
        <w:rPr>
          <w:rFonts w:ascii="Bookman Old Style" w:hAnsi="Bookman Old Style"/>
          <w:sz w:val="20"/>
          <w:szCs w:val="20"/>
        </w:rPr>
      </w:pPr>
      <w:r w:rsidRPr="003377D1">
        <w:rPr>
          <w:rFonts w:ascii="Bookman Old Style" w:hAnsi="Bookman Old Style"/>
          <w:sz w:val="20"/>
          <w:szCs w:val="20"/>
        </w:rPr>
        <w:t>В случаях, определённых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 п.). К такой форме фиксации прав применяются правила, установленные для ценных бумаг, если иное не вытекает из особенностей фиксации.</w:t>
      </w:r>
    </w:p>
    <w:p w:rsidR="0010570A" w:rsidRPr="003377D1" w:rsidRDefault="0010570A" w:rsidP="003377D1">
      <w:pPr>
        <w:pStyle w:val="a9"/>
        <w:ind w:firstLine="709"/>
        <w:jc w:val="both"/>
        <w:rPr>
          <w:rFonts w:ascii="Bookman Old Style" w:hAnsi="Bookman Old Style"/>
          <w:sz w:val="20"/>
          <w:szCs w:val="20"/>
        </w:rPr>
      </w:pPr>
      <w:r w:rsidRPr="003377D1">
        <w:rPr>
          <w:rFonts w:ascii="Bookman Old Style" w:hAnsi="Bookman Old Style"/>
          <w:sz w:val="20"/>
          <w:szCs w:val="20"/>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закреплённом праве.</w:t>
      </w:r>
    </w:p>
    <w:p w:rsidR="0010570A" w:rsidRPr="003377D1" w:rsidRDefault="0010570A" w:rsidP="003377D1">
      <w:pPr>
        <w:pStyle w:val="a9"/>
        <w:ind w:firstLine="709"/>
        <w:jc w:val="both"/>
        <w:rPr>
          <w:rFonts w:ascii="Bookman Old Style" w:hAnsi="Bookman Old Style"/>
          <w:sz w:val="20"/>
          <w:szCs w:val="20"/>
        </w:rPr>
      </w:pPr>
      <w:r w:rsidRPr="003377D1">
        <w:rPr>
          <w:rFonts w:ascii="Bookman Old Style" w:hAnsi="Bookman Old Style"/>
          <w:sz w:val="20"/>
          <w:szCs w:val="20"/>
        </w:rPr>
        <w:t>Права, удостоверяемые путём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порядке.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проведённых операциях.</w:t>
      </w:r>
      <w:r w:rsidRPr="003377D1">
        <w:rPr>
          <w:rStyle w:val="a6"/>
          <w:rFonts w:ascii="Bookman Old Style" w:hAnsi="Bookman Old Style"/>
          <w:sz w:val="20"/>
          <w:szCs w:val="20"/>
        </w:rPr>
        <w:footnoteReference w:id="6"/>
      </w:r>
    </w:p>
    <w:p w:rsidR="0010570A" w:rsidRPr="003377D1" w:rsidRDefault="0010570A" w:rsidP="003377D1">
      <w:pPr>
        <w:pStyle w:val="a9"/>
        <w:ind w:firstLine="709"/>
        <w:jc w:val="both"/>
        <w:rPr>
          <w:rFonts w:ascii="Bookman Old Style" w:hAnsi="Bookman Old Style"/>
          <w:i/>
          <w:sz w:val="20"/>
          <w:szCs w:val="20"/>
        </w:rPr>
      </w:pPr>
      <w:r w:rsidRPr="003377D1">
        <w:rPr>
          <w:rFonts w:ascii="Bookman Old Style" w:hAnsi="Bookman Old Style"/>
          <w:i/>
          <w:sz w:val="20"/>
          <w:szCs w:val="20"/>
        </w:rPr>
        <w:t>ценные бумаги делятся на 2 класса:</w:t>
      </w:r>
    </w:p>
    <w:p w:rsidR="0010570A" w:rsidRPr="003377D1" w:rsidRDefault="0010570A" w:rsidP="003377D1">
      <w:pPr>
        <w:pStyle w:val="a9"/>
        <w:numPr>
          <w:ilvl w:val="0"/>
          <w:numId w:val="10"/>
        </w:numPr>
        <w:jc w:val="both"/>
        <w:rPr>
          <w:rFonts w:ascii="Bookman Old Style" w:hAnsi="Bookman Old Style"/>
          <w:sz w:val="20"/>
          <w:szCs w:val="20"/>
        </w:rPr>
      </w:pPr>
      <w:r w:rsidRPr="003377D1">
        <w:rPr>
          <w:rFonts w:ascii="Bookman Old Style" w:hAnsi="Bookman Old Style"/>
          <w:sz w:val="20"/>
          <w:szCs w:val="20"/>
        </w:rPr>
        <w:t>основные ценные бумаги</w:t>
      </w:r>
    </w:p>
    <w:p w:rsidR="0010570A" w:rsidRPr="003377D1" w:rsidRDefault="0010570A" w:rsidP="003377D1">
      <w:pPr>
        <w:pStyle w:val="a9"/>
        <w:numPr>
          <w:ilvl w:val="0"/>
          <w:numId w:val="10"/>
        </w:numPr>
        <w:jc w:val="both"/>
        <w:rPr>
          <w:rFonts w:ascii="Bookman Old Style" w:hAnsi="Bookman Old Style"/>
          <w:sz w:val="20"/>
          <w:szCs w:val="20"/>
        </w:rPr>
      </w:pPr>
      <w:r w:rsidRPr="003377D1">
        <w:rPr>
          <w:rFonts w:ascii="Bookman Old Style" w:hAnsi="Bookman Old Style"/>
          <w:sz w:val="20"/>
          <w:szCs w:val="20"/>
        </w:rPr>
        <w:t>производные ценные бумаги или деривативы</w:t>
      </w:r>
    </w:p>
    <w:p w:rsidR="0010570A" w:rsidRPr="003377D1" w:rsidRDefault="0010570A" w:rsidP="003377D1">
      <w:pPr>
        <w:pStyle w:val="a9"/>
        <w:ind w:firstLine="709"/>
        <w:jc w:val="both"/>
        <w:rPr>
          <w:rFonts w:ascii="Bookman Old Style" w:hAnsi="Bookman Old Style"/>
          <w:sz w:val="20"/>
          <w:szCs w:val="20"/>
        </w:rPr>
      </w:pPr>
      <w:r w:rsidRPr="003377D1">
        <w:rPr>
          <w:rFonts w:ascii="Bookman Old Style" w:hAnsi="Bookman Old Style"/>
          <w:b/>
          <w:sz w:val="20"/>
          <w:szCs w:val="20"/>
        </w:rPr>
        <w:t>Основные ценные бумаги</w:t>
      </w:r>
      <w:r w:rsidRPr="003377D1">
        <w:rPr>
          <w:rFonts w:ascii="Bookman Old Style" w:hAnsi="Bookman Old Style"/>
          <w:sz w:val="20"/>
          <w:szCs w:val="20"/>
        </w:rPr>
        <w:t xml:space="preserve"> — это ценные бумаги, в основе которых лежат имущественные права на какой-либо актив, обычно на товар, деньги, капитал, имущество, различного рода ресурсы и др. Основные ценные бумаги, в свою очередь, можно разбить на две подгруппы: первичные и вторичные ценные бумаги.</w:t>
      </w:r>
    </w:p>
    <w:p w:rsidR="0010570A" w:rsidRPr="003377D1" w:rsidRDefault="0010570A" w:rsidP="003377D1">
      <w:pPr>
        <w:pStyle w:val="a9"/>
        <w:ind w:firstLine="709"/>
        <w:jc w:val="both"/>
        <w:rPr>
          <w:rFonts w:ascii="Bookman Old Style" w:hAnsi="Bookman Old Style"/>
          <w:sz w:val="20"/>
          <w:szCs w:val="20"/>
        </w:rPr>
      </w:pPr>
      <w:r w:rsidRPr="003377D1">
        <w:rPr>
          <w:rFonts w:ascii="Bookman Old Style" w:hAnsi="Bookman Old Style"/>
          <w:sz w:val="20"/>
          <w:szCs w:val="20"/>
        </w:rPr>
        <w:t>Первичные ценные бумаги основаны на активах, в число которых не входят сами ценные бумаги (обеспеченные активами). Это, например, акции, облигации, векселя, закладные и др.</w:t>
      </w:r>
    </w:p>
    <w:p w:rsidR="0010570A" w:rsidRPr="003377D1" w:rsidRDefault="0010570A" w:rsidP="003377D1">
      <w:pPr>
        <w:pStyle w:val="a9"/>
        <w:ind w:firstLine="709"/>
        <w:jc w:val="both"/>
        <w:rPr>
          <w:rFonts w:ascii="Bookman Old Style" w:hAnsi="Bookman Old Style"/>
          <w:sz w:val="20"/>
          <w:szCs w:val="20"/>
        </w:rPr>
      </w:pPr>
      <w:r w:rsidRPr="003377D1">
        <w:rPr>
          <w:rFonts w:ascii="Bookman Old Style" w:hAnsi="Bookman Old Style"/>
          <w:b/>
          <w:sz w:val="20"/>
          <w:szCs w:val="20"/>
        </w:rPr>
        <w:t>Вторичные ценные бумаги</w:t>
      </w:r>
      <w:r w:rsidRPr="003377D1">
        <w:rPr>
          <w:rFonts w:ascii="Bookman Old Style" w:hAnsi="Bookman Old Style"/>
          <w:sz w:val="20"/>
          <w:szCs w:val="20"/>
        </w:rPr>
        <w:t xml:space="preserve"> — это ценные бумаги, выпускаемые на основе первичных ценных бумаг; это ценные бумаги на сами ценные бумаги: варранты на ценные бумаги, депозитарные расписки и др.</w:t>
      </w:r>
    </w:p>
    <w:p w:rsidR="0010570A" w:rsidRPr="003377D1" w:rsidRDefault="0010570A" w:rsidP="003377D1">
      <w:pPr>
        <w:pStyle w:val="a9"/>
        <w:ind w:firstLine="709"/>
        <w:jc w:val="both"/>
        <w:rPr>
          <w:rFonts w:ascii="Bookman Old Style" w:hAnsi="Bookman Old Style"/>
          <w:sz w:val="20"/>
          <w:szCs w:val="20"/>
        </w:rPr>
      </w:pPr>
    </w:p>
    <w:p w:rsidR="0010570A" w:rsidRPr="003377D1" w:rsidRDefault="0010570A" w:rsidP="003377D1">
      <w:pPr>
        <w:pStyle w:val="a9"/>
        <w:ind w:firstLine="709"/>
        <w:jc w:val="both"/>
        <w:rPr>
          <w:rFonts w:ascii="Bookman Old Style" w:hAnsi="Bookman Old Style"/>
          <w:sz w:val="20"/>
          <w:szCs w:val="20"/>
        </w:rPr>
      </w:pPr>
      <w:r w:rsidRPr="003377D1">
        <w:rPr>
          <w:rFonts w:ascii="Bookman Old Style" w:hAnsi="Bookman Old Style"/>
          <w:b/>
          <w:sz w:val="20"/>
          <w:szCs w:val="20"/>
        </w:rPr>
        <w:t>Производная ценная бумага или дериватив</w:t>
      </w:r>
      <w:r w:rsidRPr="003377D1">
        <w:rPr>
          <w:rFonts w:ascii="Bookman Old Style" w:hAnsi="Bookman Old Style"/>
          <w:sz w:val="20"/>
          <w:szCs w:val="20"/>
        </w:rPr>
        <w:t xml:space="preserve"> — это бездокументарная форма выражения имущественного права (обязательства), возникающего в связи с изменением цены лежащего в основе данной ценной бумаги биржевого актива. К производным ценным бумагам относятся: фьючерсные контракты (товарные, валютные, процентные, индексные и др.), свободно обращающиеся опционы и свопы.</w:t>
      </w:r>
    </w:p>
    <w:p w:rsidR="0010570A" w:rsidRPr="003377D1" w:rsidRDefault="0010570A" w:rsidP="003377D1">
      <w:pPr>
        <w:pStyle w:val="a9"/>
        <w:ind w:firstLine="709"/>
        <w:jc w:val="both"/>
        <w:rPr>
          <w:rFonts w:ascii="Bookman Old Style" w:hAnsi="Bookman Old Style"/>
          <w:sz w:val="20"/>
          <w:szCs w:val="20"/>
        </w:rPr>
      </w:pPr>
      <w:r w:rsidRPr="003377D1">
        <w:rPr>
          <w:rFonts w:ascii="Bookman Old Style" w:hAnsi="Bookman Old Style"/>
          <w:sz w:val="20"/>
          <w:szCs w:val="20"/>
        </w:rPr>
        <w:lastRenderedPageBreak/>
        <w:t>В российском гражданском праве ценные бумаги классифицируются по способу легитимации владельца ценной бумаги (управомоченного лица)на предъявительские (ценные бумаги на предъявителя), именные, ордерные (ордерские).</w:t>
      </w:r>
      <w:r w:rsidRPr="003377D1">
        <w:rPr>
          <w:rStyle w:val="a6"/>
          <w:rFonts w:ascii="Bookman Old Style" w:hAnsi="Bookman Old Style"/>
          <w:sz w:val="20"/>
          <w:szCs w:val="20"/>
        </w:rPr>
        <w:footnoteReference w:id="7"/>
      </w:r>
    </w:p>
    <w:sectPr w:rsidR="0010570A" w:rsidRPr="003377D1" w:rsidSect="003377D1">
      <w:pgSz w:w="11906" w:h="16838"/>
      <w:pgMar w:top="426" w:right="424"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B32" w:rsidRDefault="00610B32" w:rsidP="00C570FF">
      <w:pPr>
        <w:spacing w:after="0" w:line="240" w:lineRule="auto"/>
      </w:pPr>
      <w:r>
        <w:separator/>
      </w:r>
    </w:p>
  </w:endnote>
  <w:endnote w:type="continuationSeparator" w:id="1">
    <w:p w:rsidR="00610B32" w:rsidRDefault="00610B32" w:rsidP="00C57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B32" w:rsidRDefault="00610B32" w:rsidP="00C570FF">
      <w:pPr>
        <w:spacing w:after="0" w:line="240" w:lineRule="auto"/>
      </w:pPr>
      <w:r>
        <w:separator/>
      </w:r>
    </w:p>
  </w:footnote>
  <w:footnote w:type="continuationSeparator" w:id="1">
    <w:p w:rsidR="00610B32" w:rsidRDefault="00610B32" w:rsidP="00C570FF">
      <w:pPr>
        <w:spacing w:after="0" w:line="240" w:lineRule="auto"/>
      </w:pPr>
      <w:r>
        <w:continuationSeparator/>
      </w:r>
    </w:p>
  </w:footnote>
  <w:footnote w:id="2">
    <w:p w:rsidR="00C570FF" w:rsidRDefault="00C570FF">
      <w:pPr>
        <w:pStyle w:val="a4"/>
      </w:pPr>
      <w:r>
        <w:rPr>
          <w:rStyle w:val="a6"/>
        </w:rPr>
        <w:footnoteRef/>
      </w:r>
      <w:r>
        <w:t xml:space="preserve"> </w:t>
      </w:r>
      <w:r w:rsidRPr="00C570FF">
        <w:t>http://ru.wikipedia.org/wiki/Ценная_бумага#.D0.9F.D1.80.D0.B8.D0.B7.D0.BD.D0.B0.D0.BA.D0.B8_.D1.86.D0.B5.D0.BD.D0.BD.D0.BE.D0.B9_.D0.B1.D1.83.D0.BC.D0.B0.D0.B3.D0.B8</w:t>
      </w:r>
    </w:p>
  </w:footnote>
  <w:footnote w:id="3">
    <w:p w:rsidR="00C570FF" w:rsidRDefault="00C570FF">
      <w:pPr>
        <w:pStyle w:val="a4"/>
      </w:pPr>
      <w:r>
        <w:rPr>
          <w:rStyle w:val="a6"/>
        </w:rPr>
        <w:footnoteRef/>
      </w:r>
      <w:r>
        <w:t xml:space="preserve"> Там же.</w:t>
      </w:r>
    </w:p>
  </w:footnote>
  <w:footnote w:id="4">
    <w:p w:rsidR="00C669CA" w:rsidRDefault="00C669CA" w:rsidP="00C669CA">
      <w:pPr>
        <w:pStyle w:val="a4"/>
      </w:pPr>
      <w:r>
        <w:rPr>
          <w:rStyle w:val="a6"/>
        </w:rPr>
        <w:footnoteRef/>
      </w:r>
      <w:r>
        <w:t xml:space="preserve"> См. Например: Постановление Правительства РФ от 16.10.2000 № 790 «Об утверждении генеральных условий эмиссии и обращения государственных краткосрочных бескупонных облигаций» //</w:t>
      </w:r>
      <w:r w:rsidRPr="006A508D">
        <w:t xml:space="preserve"> </w:t>
      </w:r>
      <w:r>
        <w:t xml:space="preserve">СЗ РФ. 2000. № 43. Ст. 483. Постановление Правительства РФ от 16.05.2001 № 379 «Об утверждении генеральных услових эмиссии и обращения облигаций государственного сберегательного займа Российской Федерации» // СЗ РФ. 2001. № 21. Ст. 2089. </w:t>
      </w:r>
    </w:p>
  </w:footnote>
  <w:footnote w:id="5">
    <w:p w:rsidR="0010570A" w:rsidRDefault="0010570A">
      <w:pPr>
        <w:pStyle w:val="a4"/>
      </w:pPr>
      <w:r>
        <w:rPr>
          <w:rStyle w:val="a6"/>
        </w:rPr>
        <w:footnoteRef/>
      </w:r>
      <w:r>
        <w:t xml:space="preserve"> </w:t>
      </w:r>
      <w:r w:rsidR="009C0470" w:rsidRPr="00C570FF">
        <w:t>http://ru.wikipedia.org/wiki/Ценная_бумага#.D0.9F.D1.80.D0.B8.D0.B7.D0.BD.D0.B0.D0.BA.D0.B8_.D1.86.D0.B5.D0.BD.D0.BD.D0.BE.D0.B9_.D0.B1.D1.83.D0.BC.D0.B0.D0.B3.D0.B8</w:t>
      </w:r>
    </w:p>
  </w:footnote>
  <w:footnote w:id="6">
    <w:p w:rsidR="0010570A" w:rsidRDefault="0010570A">
      <w:pPr>
        <w:pStyle w:val="a4"/>
      </w:pPr>
      <w:r>
        <w:rPr>
          <w:rStyle w:val="a6"/>
        </w:rPr>
        <w:footnoteRef/>
      </w:r>
      <w:r>
        <w:t xml:space="preserve"> Там же.</w:t>
      </w:r>
    </w:p>
  </w:footnote>
  <w:footnote w:id="7">
    <w:p w:rsidR="0010570A" w:rsidRDefault="0010570A">
      <w:pPr>
        <w:pStyle w:val="a4"/>
      </w:pPr>
      <w:r>
        <w:rPr>
          <w:rStyle w:val="a6"/>
        </w:rPr>
        <w:footnoteRef/>
      </w:r>
      <w: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1787"/>
    <w:multiLevelType w:val="hybridMultilevel"/>
    <w:tmpl w:val="8D7EB21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FB069D"/>
    <w:multiLevelType w:val="hybridMultilevel"/>
    <w:tmpl w:val="E7E6E1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9C2DA5"/>
    <w:multiLevelType w:val="hybridMultilevel"/>
    <w:tmpl w:val="991EB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427EAF"/>
    <w:multiLevelType w:val="hybridMultilevel"/>
    <w:tmpl w:val="AECA05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1E6420"/>
    <w:multiLevelType w:val="hybridMultilevel"/>
    <w:tmpl w:val="DD221608"/>
    <w:lvl w:ilvl="0" w:tplc="77DA55A2">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765348C"/>
    <w:multiLevelType w:val="hybridMultilevel"/>
    <w:tmpl w:val="5D3667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D35B1D"/>
    <w:multiLevelType w:val="hybridMultilevel"/>
    <w:tmpl w:val="86280B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86E474C"/>
    <w:multiLevelType w:val="hybridMultilevel"/>
    <w:tmpl w:val="E28C94EA"/>
    <w:lvl w:ilvl="0" w:tplc="4BA42B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5B8082A"/>
    <w:multiLevelType w:val="hybridMultilevel"/>
    <w:tmpl w:val="54AEE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6E2439"/>
    <w:multiLevelType w:val="hybridMultilevel"/>
    <w:tmpl w:val="73DC5D28"/>
    <w:lvl w:ilvl="0" w:tplc="4BA42B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
  </w:num>
  <w:num w:numId="5">
    <w:abstractNumId w:val="6"/>
  </w:num>
  <w:num w:numId="6">
    <w:abstractNumId w:val="7"/>
  </w:num>
  <w:num w:numId="7">
    <w:abstractNumId w:val="4"/>
  </w:num>
  <w:num w:numId="8">
    <w:abstractNumId w:val="5"/>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FELayout/>
  </w:compat>
  <w:rsids>
    <w:rsidRoot w:val="00A710F3"/>
    <w:rsid w:val="0010570A"/>
    <w:rsid w:val="003377D1"/>
    <w:rsid w:val="00403809"/>
    <w:rsid w:val="00610B32"/>
    <w:rsid w:val="00822C65"/>
    <w:rsid w:val="008A046A"/>
    <w:rsid w:val="008E111F"/>
    <w:rsid w:val="009C0470"/>
    <w:rsid w:val="00A710F3"/>
    <w:rsid w:val="00BA252B"/>
    <w:rsid w:val="00BE0050"/>
    <w:rsid w:val="00C570FF"/>
    <w:rsid w:val="00C669CA"/>
    <w:rsid w:val="00D06946"/>
    <w:rsid w:val="00DA4C27"/>
    <w:rsid w:val="00EB0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0FF"/>
    <w:pPr>
      <w:ind w:left="720"/>
      <w:contextualSpacing/>
    </w:pPr>
  </w:style>
  <w:style w:type="paragraph" w:styleId="a4">
    <w:name w:val="footnote text"/>
    <w:basedOn w:val="a"/>
    <w:link w:val="a5"/>
    <w:uiPriority w:val="99"/>
    <w:semiHidden/>
    <w:unhideWhenUsed/>
    <w:rsid w:val="00C570FF"/>
    <w:pPr>
      <w:spacing w:after="0" w:line="240" w:lineRule="auto"/>
    </w:pPr>
    <w:rPr>
      <w:sz w:val="20"/>
      <w:szCs w:val="20"/>
    </w:rPr>
  </w:style>
  <w:style w:type="character" w:customStyle="1" w:styleId="a5">
    <w:name w:val="Текст сноски Знак"/>
    <w:basedOn w:val="a0"/>
    <w:link w:val="a4"/>
    <w:uiPriority w:val="99"/>
    <w:semiHidden/>
    <w:rsid w:val="00C570FF"/>
    <w:rPr>
      <w:sz w:val="20"/>
      <w:szCs w:val="20"/>
    </w:rPr>
  </w:style>
  <w:style w:type="character" w:styleId="a6">
    <w:name w:val="footnote reference"/>
    <w:basedOn w:val="a0"/>
    <w:uiPriority w:val="99"/>
    <w:semiHidden/>
    <w:unhideWhenUsed/>
    <w:rsid w:val="00C570FF"/>
    <w:rPr>
      <w:vertAlign w:val="superscript"/>
    </w:rPr>
  </w:style>
  <w:style w:type="paragraph" w:styleId="a7">
    <w:name w:val="Balloon Text"/>
    <w:basedOn w:val="a"/>
    <w:link w:val="a8"/>
    <w:uiPriority w:val="99"/>
    <w:semiHidden/>
    <w:unhideWhenUsed/>
    <w:rsid w:val="00BE00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0050"/>
    <w:rPr>
      <w:rFonts w:ascii="Tahoma" w:hAnsi="Tahoma" w:cs="Tahoma"/>
      <w:sz w:val="16"/>
      <w:szCs w:val="16"/>
    </w:rPr>
  </w:style>
  <w:style w:type="paragraph" w:styleId="a9">
    <w:name w:val="No Spacing"/>
    <w:uiPriority w:val="1"/>
    <w:qFormat/>
    <w:rsid w:val="003377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53A815-256A-442B-8AF5-34AE3451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2358</Words>
  <Characters>13444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Admin</cp:lastModifiedBy>
  <cp:revision>5</cp:revision>
  <dcterms:created xsi:type="dcterms:W3CDTF">2010-03-29T15:36:00Z</dcterms:created>
  <dcterms:modified xsi:type="dcterms:W3CDTF">2012-02-01T20:10:00Z</dcterms:modified>
</cp:coreProperties>
</file>